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6" w:afterLines="50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乱收费专项清理整治“回头看”工作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情况统计表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459" w:type="dxa"/>
        <w:tblInd w:w="-4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13"/>
        <w:gridCol w:w="2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工作举措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开展自查自纠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回头看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行业协会商会数（个）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通过自查纠正违法违规收费问题数（个）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抽查检查行业协会商会数（个）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调整和规范会费收取标准和程序数（个）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调整和规范经营服务性收费项目数（个）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其中，具有一定垄断性和强制性的经营服务性收费项目数（个）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降低偏高收费项目数（个）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查处存在违法违规收费问题行业协会商会数（个）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查处违法违规收费金额（万元）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公开曝光违法违规收费行业协会商会数（个）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主动减免和降低收费的行业协会商会数（个）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通过主动减免和降低收费减轻企业负担金额（万元）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作出缓缴安排的收费项目数（个）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通过缓缴收费减轻企业负担金额（万元）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szCs w:val="24"/>
              </w:rPr>
              <w:t>通过推动本行业企业为其他市场主体让利减轻企业负担金额（万元）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通过为行业争取帮扶政策减轻企业负担金额（万元）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设立并公布电话、邮箱、微信小程序等举报平台数（个）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围绕收费长效监管机制出台政策文件数（个）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9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填报说明：第5、6项由发展改革部门填报；第3、7、8、9项由市场监管、民政部门分别填报；第16、17项由民政、发展改革、市场监管部门分别填报；其他由民政部门填报。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56517ECB"/>
    <w:rsid w:val="56517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2022-08-10T03:58:00Z</dcterms:created>
  <dc:creator>深灰灰灰灰</dc:creator>
  <cp:lastModifiedBy>深灰灰灰灰</cp:lastModifiedBy>
  <dcterms:modified xsi:type="dcterms:W3CDTF">2022-08-10T03:59:17Z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0B1298A9D2CB4B2DA51CAD7A95977C45</vt:lpwstr>
  </property>
</Properties>
</file>